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7297412" w:rsidP="2CAB0E63" w:rsidRDefault="07297412" w14:paraId="4FC40FCA" w14:textId="4D7CA301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</w:pPr>
      <w:r w:rsidRPr="2CAB0E63" w:rsidR="0729741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KODAK LENSES Y FUNDACIÓN ONESIGHT TRANSFORMAN VIDAS CON LA CUARTA EDICIÓN DE “EL REGALO DE UNA GRAN VISIÓN”</w:t>
      </w:r>
    </w:p>
    <w:p w:rsidR="2C590CEE" w:rsidP="2CAB0E63" w:rsidRDefault="2C590CEE" w14:paraId="24A07D8A" w14:textId="74349C1C">
      <w:pPr>
        <w:pStyle w:val="Normal"/>
        <w:jc w:val="center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2CAB0E63" w:rsidR="2C590CE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Kodak Lenses y </w:t>
      </w:r>
      <w:r w:rsidRPr="2CAB0E63" w:rsidR="2C590CE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OneSight</w:t>
      </w:r>
      <w:r w:rsidRPr="2CAB0E63" w:rsidR="2C590CE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2CAB0E63" w:rsidR="2C590CE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EssilorLuxottica</w:t>
      </w:r>
      <w:r w:rsidRPr="2CAB0E63" w:rsidR="2C590CE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se </w:t>
      </w:r>
      <w:r w:rsidRPr="2CAB0E63" w:rsidR="2C590CE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Unen</w:t>
      </w:r>
      <w:r w:rsidRPr="2CAB0E63" w:rsidR="2C590CE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para </w:t>
      </w:r>
      <w:r w:rsidRPr="2CAB0E63" w:rsidR="2C590CE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Transformar</w:t>
      </w:r>
      <w:r w:rsidRPr="2CAB0E63" w:rsidR="2C590CE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Vidas con “The Gift of Great Vision”</w:t>
      </w:r>
    </w:p>
    <w:p w:rsidR="2C590CEE" w:rsidP="2CAB0E63" w:rsidRDefault="2C590CEE" w14:paraId="05DE0FCE" w14:textId="5DE271D7">
      <w:pPr>
        <w:spacing w:before="240" w:beforeAutospacing="off" w:after="24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</w:pP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En </w:t>
      </w:r>
      <w:r w:rsidRPr="2CAB0E63" w:rsidR="1FE499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el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mund</w:t>
      </w:r>
      <w:r w:rsidRPr="2CAB0E63" w:rsidR="5062A71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o,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más de 7 millones de personas enfrentan problemas de visión, </w:t>
      </w:r>
      <w:r w:rsidRPr="2CAB0E63" w:rsidR="0519054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y 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casi 3 millones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de ellas no han tenido acceso a tratamientos o correcciones ópticas, debido a barreras económicas, sociales o culturales. Este es un desafío global que afecta a comunidades vulnerables, donde el cuidado de la vista sigue siendo una necesidad básica inaccesible para muchos.</w:t>
      </w:r>
    </w:p>
    <w:p w:rsidR="18BA751C" w:rsidP="2CAB0E63" w:rsidRDefault="18BA751C" w14:paraId="5CF665F1" w14:textId="43710730">
      <w:pPr>
        <w:spacing w:before="240" w:beforeAutospacing="off" w:after="24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</w:pPr>
      <w:r w:rsidRPr="2CAB0E63" w:rsidR="18BA75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Es por eso </w:t>
      </w:r>
      <w:r w:rsidRPr="2CAB0E63" w:rsidR="18BA75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que</w:t>
      </w:r>
      <w:r w:rsidRPr="2CAB0E63" w:rsidR="18BA75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</w:t>
      </w:r>
      <w:r w:rsidRPr="2CAB0E63" w:rsidR="2C590CE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Kodak </w:t>
      </w:r>
      <w:r w:rsidRPr="2CAB0E63" w:rsidR="2C590CE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Lenses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, en colaboración con </w:t>
      </w:r>
      <w:r w:rsidRPr="2CAB0E63" w:rsidR="2C590CE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OneSight</w:t>
      </w:r>
      <w:r w:rsidRPr="2CAB0E63" w:rsidR="2C590CE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</w:t>
      </w:r>
      <w:r w:rsidRPr="2CAB0E63" w:rsidR="2C590CE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EssilorLuxottica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, una de las principales fundaciones dedicadas al cuidado oftalmológico a nivel mundial, ha asumido el compromiso de abordar esta problemática. A través de su programa </w:t>
      </w:r>
      <w:r w:rsidRPr="2CAB0E63" w:rsidR="2C590CE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“</w:t>
      </w:r>
      <w:r w:rsidRPr="2CAB0E63" w:rsidR="2C590CE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The</w:t>
      </w:r>
      <w:r w:rsidRPr="2CAB0E63" w:rsidR="2C590CE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</w:t>
      </w:r>
      <w:r w:rsidRPr="2CAB0E63" w:rsidR="2C590CE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Gift</w:t>
      </w:r>
      <w:r w:rsidRPr="2CAB0E63" w:rsidR="2C590CE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</w:t>
      </w:r>
      <w:r w:rsidRPr="2CAB0E63" w:rsidR="2C590CE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of</w:t>
      </w:r>
      <w:r w:rsidRPr="2CAB0E63" w:rsidR="2C590CE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Great </w:t>
      </w:r>
      <w:r w:rsidRPr="2CAB0E63" w:rsidR="2C590CE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Vision</w:t>
      </w:r>
      <w:r w:rsidRPr="2CAB0E63" w:rsidR="2C590CE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”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, la iniciativa busca cambiar la realidad de millones de personas que no tienen acceso a lentes o atención visual adecuada.</w:t>
      </w:r>
    </w:p>
    <w:p w:rsidR="2C590CEE" w:rsidP="2CAB0E63" w:rsidRDefault="2C590CEE" w14:paraId="4D410FB3" w14:textId="79C88D51">
      <w:pPr>
        <w:spacing w:before="240" w:beforeAutospacing="off" w:after="24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</w:pP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El objetivo es simple: por cada par de lentes KODAK seleccionados que se adquieran en los establecimientos participantes, 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Kodak 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Lenses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donará un par de lentes de visión sencilla a quienes más lo necesitan. Esta donación será canalizada a través de los proyectos gestionados por</w:t>
      </w:r>
      <w:r w:rsidRPr="2CAB0E63" w:rsidR="2C590CE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</w:t>
      </w:r>
      <w:r w:rsidRPr="2CAB0E63" w:rsidR="2C590CE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OneSight</w:t>
      </w:r>
      <w:r w:rsidRPr="2CAB0E63" w:rsidR="2C590CE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</w:t>
      </w:r>
      <w:r w:rsidRPr="2CAB0E63" w:rsidR="2C590CE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EssilorLuxottica</w:t>
      </w:r>
      <w:r w:rsidRPr="2CAB0E63" w:rsidR="2C590CE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,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los cuales brindan atención oftalmológica gratuita en comunidades con escaso acceso a este tipo de servicios.</w:t>
      </w:r>
    </w:p>
    <w:p w:rsidR="2C590CEE" w:rsidP="2CAB0E63" w:rsidRDefault="2C590CEE" w14:paraId="6E1DD465" w14:textId="03BB115D">
      <w:pPr>
        <w:spacing w:before="240" w:beforeAutospacing="off" w:after="24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</w:pP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En </w:t>
      </w:r>
      <w:r w:rsidRPr="2CAB0E63" w:rsidR="2C590CE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EssilorLuxottica</w:t>
      </w:r>
      <w:r w:rsidRPr="2CAB0E63" w:rsidR="2C590CE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y 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Kodak 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Lenses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creemos que la salud ocular es un derecho fundamental. Tener acceso a una visión clara no solo mejora la calidad de vida de las personas, sino que también abre nuevas oportunidades, permitiendo a las comunidades ver el mundo con todo su color y riqueza. Con 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“</w:t>
      </w:r>
      <w:r w:rsidRPr="2CAB0E63" w:rsidR="2C590CE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The</w:t>
      </w:r>
      <w:r w:rsidRPr="2CAB0E63" w:rsidR="2C590CE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</w:t>
      </w:r>
      <w:r w:rsidRPr="2CAB0E63" w:rsidR="2C590CE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Gift</w:t>
      </w:r>
      <w:r w:rsidRPr="2CAB0E63" w:rsidR="2C590CE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</w:t>
      </w:r>
      <w:r w:rsidRPr="2CAB0E63" w:rsidR="2C590CE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of</w:t>
      </w:r>
      <w:r w:rsidRPr="2CAB0E63" w:rsidR="2C590CE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Great </w:t>
      </w:r>
      <w:r w:rsidRPr="2CAB0E63" w:rsidR="2C590CE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Vision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”</w:t>
      </w:r>
      <w:r w:rsidRPr="2CAB0E63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, buscamos ofrecer a más personas la posibilidad de ver mejor y vivir plenamente.</w:t>
      </w:r>
    </w:p>
    <w:p w:rsidR="2C590CEE" w:rsidP="059B3E55" w:rsidRDefault="2C590CEE" w14:paraId="7ECF4B67" w14:textId="2A38902C">
      <w:pPr>
        <w:spacing w:before="240" w:beforeAutospacing="off" w:after="24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</w:pPr>
      <w:r w:rsidRPr="059B3E55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La campaña estará activa de</w:t>
      </w:r>
      <w:r w:rsidRPr="059B3E55" w:rsidR="704FCF1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l 4 de marzo</w:t>
      </w:r>
      <w:r w:rsidRPr="059B3E55" w:rsidR="147122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</w:t>
      </w:r>
      <w:r w:rsidRPr="059B3E55" w:rsidR="64799DE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al </w:t>
      </w:r>
      <w:r w:rsidRPr="059B3E55" w:rsidR="57886DA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2 de mayo</w:t>
      </w:r>
      <w:r w:rsidRPr="059B3E55" w:rsidR="64799DE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 xml:space="preserve"> </w:t>
      </w:r>
      <w:r w:rsidRPr="059B3E55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de 2025</w:t>
      </w:r>
      <w:r w:rsidRPr="059B3E55" w:rsidR="2C590CE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ES"/>
        </w:rPr>
        <w:t>, invitando a todos a sumarse a esta causa global. Al elegir lentes KODAK, no solo estás mejorando tu propia visión, sino también ayudando a aquellos que aún no tienen acceso a este derecho básico. Juntos podemos llevar el regalo de una gran visión a quienes más lo necesitan.</w:t>
      </w:r>
    </w:p>
    <w:p w:rsidR="2CAB0E63" w:rsidP="2CAB0E63" w:rsidRDefault="2CAB0E63" w14:paraId="1B8A12E0" w14:textId="07340244">
      <w:pPr>
        <w:spacing w:before="0" w:beforeAutospacing="off" w:after="0" w:afterAutospacing="off"/>
        <w:jc w:val="both"/>
        <w:rPr>
          <w:rFonts w:ascii="Arial" w:hAnsi="Arial" w:eastAsia="Arial" w:cs="Arial"/>
          <w:color w:val="auto"/>
          <w:sz w:val="20"/>
          <w:szCs w:val="20"/>
        </w:rPr>
      </w:pPr>
    </w:p>
    <w:p w:rsidR="2CAB0E63" w:rsidP="2CAB0E63" w:rsidRDefault="2CAB0E63" w14:paraId="521F4E1F" w14:textId="5A8FA00A">
      <w:pPr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eastAsia="Arial" w:cs="Arial"/>
          <w:color w:val="auto"/>
          <w:sz w:val="20"/>
          <w:szCs w:val="20"/>
        </w:rPr>
      </w:pPr>
    </w:p>
    <w:p w:rsidR="2CAB0E63" w:rsidP="2CAB0E63" w:rsidRDefault="2CAB0E63" w14:paraId="1CB34134" w14:textId="4A3E4D61">
      <w:pPr>
        <w:pStyle w:val="Normal"/>
        <w:shd w:val="clear" w:color="auto" w:fill="FFFFFF" w:themeFill="background1"/>
        <w:spacing w:before="0" w:beforeAutospacing="off" w:after="0" w:afterAutospacing="off"/>
        <w:jc w:val="both"/>
      </w:pPr>
    </w:p>
    <w:p w:rsidR="2CAB0E63" w:rsidP="2CAB0E63" w:rsidRDefault="2CAB0E63" w14:paraId="337CD61C" w14:textId="4B28AA4F">
      <w:pPr>
        <w:shd w:val="clear" w:color="auto" w:fill="FFFFFF" w:themeFill="background1"/>
        <w:spacing w:before="0" w:beforeAutospacing="off" w:after="0" w:afterAutospacing="off"/>
        <w:jc w:val="both"/>
      </w:pPr>
    </w:p>
    <w:p w:rsidR="2CAB0E63" w:rsidP="2CAB0E63" w:rsidRDefault="2CAB0E63" w14:paraId="551A12B0" w14:textId="209F461E">
      <w:pPr>
        <w:shd w:val="clear" w:color="auto" w:fill="FFFFFF" w:themeFill="background1"/>
        <w:spacing w:before="0" w:beforeAutospacing="off" w:after="0" w:afterAutospacing="off"/>
        <w:jc w:val="both"/>
      </w:pPr>
    </w:p>
    <w:p w:rsidR="2CAB0E63" w:rsidP="2CAB0E63" w:rsidRDefault="2CAB0E63" w14:paraId="2146D4FC" w14:textId="6D60791F">
      <w:pPr>
        <w:shd w:val="clear" w:color="auto" w:fill="FFFFFF" w:themeFill="background1"/>
        <w:spacing w:before="0" w:beforeAutospacing="off" w:after="0" w:afterAutospacing="off"/>
        <w:jc w:val="both"/>
      </w:pPr>
    </w:p>
    <w:p w:rsidR="2CAB0E63" w:rsidP="2CAB0E63" w:rsidRDefault="2CAB0E63" w14:paraId="2D6B1487" w14:textId="45608E4A">
      <w:pPr>
        <w:shd w:val="clear" w:color="auto" w:fill="FFFFFF" w:themeFill="background1"/>
        <w:spacing w:before="0" w:beforeAutospacing="off" w:after="0" w:afterAutospacing="off"/>
        <w:jc w:val="both"/>
      </w:pPr>
    </w:p>
    <w:p w:rsidR="2CAB0E63" w:rsidP="2CAB0E63" w:rsidRDefault="2CAB0E63" w14:paraId="14FCAEF5" w14:textId="39AEBBC9">
      <w:pPr>
        <w:shd w:val="clear" w:color="auto" w:fill="FFFFFF" w:themeFill="background1"/>
        <w:spacing w:before="0" w:beforeAutospacing="off" w:after="0" w:afterAutospacing="off"/>
        <w:jc w:val="both"/>
      </w:pPr>
    </w:p>
    <w:p w:rsidR="2CAB0E63" w:rsidP="2CAB0E63" w:rsidRDefault="2CAB0E63" w14:paraId="28AF98A2" w14:textId="61AADE54">
      <w:pPr>
        <w:shd w:val="clear" w:color="auto" w:fill="FFFFFF" w:themeFill="background1"/>
        <w:spacing w:before="0" w:beforeAutospacing="off" w:after="0" w:afterAutospacing="off"/>
        <w:jc w:val="both"/>
      </w:pPr>
    </w:p>
    <w:p w:rsidR="2CAB0E63" w:rsidP="2CAB0E63" w:rsidRDefault="2CAB0E63" w14:paraId="32E7F4A8" w14:textId="65CA58D3">
      <w:pPr>
        <w:shd w:val="clear" w:color="auto" w:fill="FFFFFF" w:themeFill="background1"/>
        <w:spacing w:before="0" w:beforeAutospacing="off" w:after="0" w:afterAutospacing="off"/>
        <w:jc w:val="both"/>
      </w:pPr>
    </w:p>
    <w:p w:rsidR="2CAB0E63" w:rsidP="2CAB0E63" w:rsidRDefault="2CAB0E63" w14:paraId="5130957B" w14:textId="6CA9C3AB">
      <w:pPr>
        <w:shd w:val="clear" w:color="auto" w:fill="FFFFFF" w:themeFill="background1"/>
        <w:spacing w:before="0" w:beforeAutospacing="off" w:after="0" w:afterAutospacing="off"/>
        <w:jc w:val="both"/>
      </w:pPr>
    </w:p>
    <w:p w:rsidR="2CAB0E63" w:rsidP="2CAB0E63" w:rsidRDefault="2CAB0E63" w14:paraId="2B98B937" w14:textId="314ACB8B">
      <w:pPr>
        <w:shd w:val="clear" w:color="auto" w:fill="FFFFFF" w:themeFill="background1"/>
        <w:spacing w:before="0" w:beforeAutospacing="off" w:after="0" w:afterAutospacing="off"/>
        <w:jc w:val="both"/>
      </w:pPr>
    </w:p>
    <w:p w:rsidR="2CAB0E63" w:rsidP="2CAB0E63" w:rsidRDefault="2CAB0E63" w14:paraId="684BD438" w14:textId="540C73E9">
      <w:pPr>
        <w:shd w:val="clear" w:color="auto" w:fill="FFFFFF" w:themeFill="background1"/>
        <w:spacing w:before="0" w:beforeAutospacing="off" w:after="0" w:afterAutospacing="off"/>
        <w:jc w:val="both"/>
      </w:pPr>
    </w:p>
    <w:p w:rsidR="39AB7965" w:rsidP="2CAB0E63" w:rsidRDefault="39AB7965" w14:paraId="2AC54F43" w14:textId="60860385">
      <w:pPr>
        <w:shd w:val="clear" w:color="auto" w:fill="FFFFFF" w:themeFill="background1"/>
        <w:spacing w:before="0" w:beforeAutospacing="off" w:after="0" w:afterAutospacing="off"/>
        <w:jc w:val="both"/>
      </w:pP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1A1A1A"/>
          <w:sz w:val="16"/>
          <w:szCs w:val="16"/>
          <w:lang w:val="es-ES"/>
        </w:rPr>
        <w:t xml:space="preserve"> </w:t>
      </w:r>
    </w:p>
    <w:p w:rsidR="39AB7965" w:rsidP="2CAB0E63" w:rsidRDefault="39AB7965" w14:paraId="4644BB30" w14:textId="4376CD4A">
      <w:pPr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CAB0E63" w:rsidR="39AB796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Acerca de </w:t>
      </w:r>
      <w:r w:rsidRPr="2CAB0E63" w:rsidR="39AB796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EssilorLuxottica</w:t>
      </w:r>
    </w:p>
    <w:p w:rsidR="39AB7965" w:rsidP="2CAB0E63" w:rsidRDefault="39AB7965" w14:paraId="4C51A9A4" w14:textId="6C9F4B78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EssilorLuxottica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 líder mundial en el diseño, fabricación y distribución de lentes oftálmicas, monturas y gafas de sol. su misión es ayudar a las personas de todo el mundo a ver más y ser más, atendiendo a sus necesidades de visión en evolución y a sus aspiraciones de estilo personal. La compañía reúne la experiencia complementaria de dos pioneros de la industria, uno en tecnología avanzada de lentes y el otro en la artesanía de gafas icónicas, para establecer nuevos estándares de la industria para el cuidado de la visión y la experiencia del consumidor en torno a ella. Marcas de gafas influyentes como Ray-Ban y 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Oakley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marcas de tecnología de lentes como 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Varilux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Transitions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y marcas de venta al por menor de categoría mundial como 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Sunglass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Hut, 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LensCrafters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Salmoiraghi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&amp; 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Viganò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GrandVision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forman parte de la familia 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EssilorLuxottica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EssilorLuxottica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tiene aproximadamente 180.000 empleados. En 2021, la empresa generó unos ingresos consolidados 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pro forma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21.500 millones de euros. La acción de 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EssilorLuxottica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cotiza en el mercado Euronext de París y está incluida en los índices 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Euro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Stoxx 50 y CAC 40. Códigos y símbolos: ISIN: FR0000121667; Reuters: ESLX.PA; Bloomberg: 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EL:FP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Para más información, visite </w:t>
      </w:r>
      <w:hyperlink>
        <w:r w:rsidRPr="2CAB0E63" w:rsidR="39AB796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noProof w:val="0"/>
            <w:sz w:val="20"/>
            <w:szCs w:val="20"/>
            <w:lang w:val="es-ES"/>
          </w:rPr>
          <w:t>www.essilorluxottica.com</w:t>
        </w:r>
      </w:hyperlink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2CAB0E63" w:rsidP="2CAB0E63" w:rsidRDefault="2CAB0E63" w14:paraId="4AB9AF85" w14:textId="6B42C59A">
      <w:pPr>
        <w:spacing w:before="0" w:beforeAutospacing="off" w:after="0" w:afterAutospacing="off"/>
        <w:jc w:val="both"/>
      </w:pPr>
    </w:p>
    <w:p w:rsidR="2CAB0E63" w:rsidP="2CAB0E63" w:rsidRDefault="2CAB0E63" w14:paraId="0DF02747" w14:textId="3061EAF1">
      <w:pPr>
        <w:spacing w:before="0" w:beforeAutospacing="off" w:after="0" w:afterAutospacing="off"/>
        <w:jc w:val="both"/>
      </w:pPr>
    </w:p>
    <w:p w:rsidR="39AB7965" w:rsidP="2CAB0E63" w:rsidRDefault="39AB7965" w14:paraId="1B87898E" w14:textId="763B796A">
      <w:pPr>
        <w:spacing w:before="0" w:beforeAutospacing="off" w:after="0" w:afterAutospacing="off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CAB0E63" w:rsidR="39AB796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s-ES"/>
        </w:rPr>
        <w:t>Contacto para medios</w:t>
      </w:r>
    </w:p>
    <w:p w:rsidR="39AB7965" w:rsidP="2CAB0E63" w:rsidRDefault="39AB7965" w14:paraId="6B248E41" w14:textId="6857288C">
      <w:pPr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1A1A1A"/>
          <w:sz w:val="20"/>
          <w:szCs w:val="20"/>
          <w:lang w:val="es-ES"/>
        </w:rPr>
      </w:pP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1A1A1A"/>
          <w:sz w:val="20"/>
          <w:szCs w:val="20"/>
          <w:lang w:val="es-ES"/>
        </w:rPr>
        <w:t>Ismael Díaz</w:t>
      </w:r>
    </w:p>
    <w:p w:rsidR="39AB7965" w:rsidP="2CAB0E63" w:rsidRDefault="39AB7965" w14:paraId="587026F0" w14:textId="2FD79EDE">
      <w:pPr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1A1A1A"/>
          <w:sz w:val="20"/>
          <w:szCs w:val="20"/>
          <w:lang w:val="es-ES"/>
        </w:rPr>
      </w:pP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1A1A1A"/>
          <w:sz w:val="20"/>
          <w:szCs w:val="20"/>
          <w:lang w:val="es-ES"/>
        </w:rPr>
        <w:t>Account</w:t>
      </w:r>
      <w:r w:rsidRPr="2CAB0E63" w:rsidR="39AB7965">
        <w:rPr>
          <w:rFonts w:ascii="Arial" w:hAnsi="Arial" w:eastAsia="Arial" w:cs="Arial"/>
          <w:b w:val="0"/>
          <w:bCs w:val="0"/>
          <w:i w:val="0"/>
          <w:iCs w:val="0"/>
          <w:noProof w:val="0"/>
          <w:color w:val="1A1A1A"/>
          <w:sz w:val="20"/>
          <w:szCs w:val="20"/>
          <w:lang w:val="es-ES"/>
        </w:rPr>
        <w:t xml:space="preserve"> Executive</w:t>
      </w:r>
    </w:p>
    <w:p w:rsidR="39AB7965" w:rsidP="2CAB0E63" w:rsidRDefault="39AB7965" w14:paraId="424FADE6" w14:textId="04A0B7F1">
      <w:pPr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eastAsia="Arial" w:cs="Arial"/>
          <w:sz w:val="20"/>
          <w:szCs w:val="20"/>
        </w:rPr>
      </w:pPr>
      <w:hyperlink r:id="Ra6af8f1c97424342">
        <w:r w:rsidRPr="2CAB0E63" w:rsidR="39AB796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0"/>
            <w:szCs w:val="20"/>
            <w:lang w:val="es-ES"/>
          </w:rPr>
          <w:t>ismael.diaz@another.co</w:t>
        </w:r>
      </w:hyperlink>
    </w:p>
    <w:p w:rsidR="2CAB0E63" w:rsidP="2CAB0E63" w:rsidRDefault="2CAB0E63" w14:paraId="486E8AA7" w14:textId="3C694995">
      <w:pPr>
        <w:pStyle w:val="Normal"/>
        <w:jc w:val="center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1d8787d452a45b2"/>
      <w:footerReference w:type="default" r:id="R47717e6f0a7c4f3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AB0E63" w:rsidTr="2CAB0E63" w14:paraId="21545178">
      <w:trPr>
        <w:trHeight w:val="300"/>
      </w:trPr>
      <w:tc>
        <w:tcPr>
          <w:tcW w:w="3005" w:type="dxa"/>
          <w:tcMar/>
        </w:tcPr>
        <w:p w:rsidR="2CAB0E63" w:rsidP="2CAB0E63" w:rsidRDefault="2CAB0E63" w14:paraId="1A7F4E69" w14:textId="2BFA062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CAB0E63" w:rsidP="2CAB0E63" w:rsidRDefault="2CAB0E63" w14:paraId="59F72637" w14:textId="0F15727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CAB0E63" w:rsidP="2CAB0E63" w:rsidRDefault="2CAB0E63" w14:paraId="6D2F9281" w14:textId="557DFE35">
          <w:pPr>
            <w:pStyle w:val="Header"/>
            <w:bidi w:val="0"/>
            <w:ind w:right="-115"/>
            <w:jc w:val="right"/>
          </w:pPr>
        </w:p>
      </w:tc>
    </w:tr>
  </w:tbl>
  <w:p w:rsidR="2CAB0E63" w:rsidP="2CAB0E63" w:rsidRDefault="2CAB0E63" w14:paraId="77E7C713" w14:textId="5DF3210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CAB0E63" w:rsidRDefault="2CAB0E63" w14:paraId="2DE30EAB" w14:textId="62FCC3D3"/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AB0E63" w:rsidTr="2CAB0E63" w14:paraId="6E0F2765">
      <w:trPr>
        <w:trHeight w:val="300"/>
      </w:trPr>
      <w:tc>
        <w:tcPr>
          <w:tcW w:w="3005" w:type="dxa"/>
          <w:tcMar/>
        </w:tcPr>
        <w:p w:rsidR="2CAB0E63" w:rsidP="2CAB0E63" w:rsidRDefault="2CAB0E63" w14:paraId="0FF523A5" w14:textId="3AC7CD17">
          <w:pPr>
            <w:pStyle w:val="Header"/>
            <w:bidi w:val="0"/>
            <w:ind w:left="-115"/>
            <w:jc w:val="left"/>
          </w:pPr>
          <w:r w:rsidR="2CAB0E63">
            <w:drawing>
              <wp:inline wp14:editId="678C59CC" wp14:anchorId="28538CFA">
                <wp:extent cx="1685925" cy="200025"/>
                <wp:effectExtent l="0" t="0" r="0" b="0"/>
                <wp:docPr id="22660539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a3944eaeadd4fb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CAB0E63" w:rsidP="2CAB0E63" w:rsidRDefault="2CAB0E63" w14:paraId="09B1B64C" w14:textId="702C69FF">
          <w:pPr>
            <w:pStyle w:val="Header"/>
            <w:bidi w:val="0"/>
            <w:jc w:val="center"/>
          </w:pPr>
          <w:r w:rsidR="2CAB0E63">
            <w:drawing>
              <wp:inline wp14:editId="00355479" wp14:anchorId="3F89A31D">
                <wp:extent cx="1762125" cy="390525"/>
                <wp:effectExtent l="0" t="0" r="0" b="0"/>
                <wp:docPr id="107419242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1139e03577d4ab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2CAB0E63" w:rsidP="2CAB0E63" w:rsidRDefault="2CAB0E63" w14:paraId="5208C045" w14:textId="51A38BDF">
          <w:pPr>
            <w:pStyle w:val="Header"/>
            <w:bidi w:val="0"/>
            <w:ind w:right="-115"/>
            <w:jc w:val="right"/>
          </w:pPr>
        </w:p>
      </w:tc>
    </w:tr>
  </w:tbl>
  <w:p w:rsidR="2CAB0E63" w:rsidP="2CAB0E63" w:rsidRDefault="2CAB0E63" w14:paraId="1C150CDA" w14:textId="15D5BA5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815F37"/>
    <w:rsid w:val="05190544"/>
    <w:rsid w:val="059B3E55"/>
    <w:rsid w:val="07297412"/>
    <w:rsid w:val="0BA5DE15"/>
    <w:rsid w:val="0D336225"/>
    <w:rsid w:val="12ED7D62"/>
    <w:rsid w:val="1471227A"/>
    <w:rsid w:val="174D221D"/>
    <w:rsid w:val="178B4578"/>
    <w:rsid w:val="18BA751C"/>
    <w:rsid w:val="1C3B5EFC"/>
    <w:rsid w:val="1D067E08"/>
    <w:rsid w:val="1EA1EC51"/>
    <w:rsid w:val="1FE49923"/>
    <w:rsid w:val="224AD968"/>
    <w:rsid w:val="258C0870"/>
    <w:rsid w:val="25C6039A"/>
    <w:rsid w:val="26499A6D"/>
    <w:rsid w:val="2823A748"/>
    <w:rsid w:val="29EF7249"/>
    <w:rsid w:val="2B2EBC5E"/>
    <w:rsid w:val="2C590CEE"/>
    <w:rsid w:val="2CAB0E63"/>
    <w:rsid w:val="2E3A7E87"/>
    <w:rsid w:val="32867B69"/>
    <w:rsid w:val="3715B9F1"/>
    <w:rsid w:val="39AB7965"/>
    <w:rsid w:val="3B39ECAB"/>
    <w:rsid w:val="41F23EBB"/>
    <w:rsid w:val="42E6A45B"/>
    <w:rsid w:val="494C34E2"/>
    <w:rsid w:val="4AF4ACE7"/>
    <w:rsid w:val="4F779D53"/>
    <w:rsid w:val="5062A71A"/>
    <w:rsid w:val="5227168E"/>
    <w:rsid w:val="55E2A7F1"/>
    <w:rsid w:val="57886DAF"/>
    <w:rsid w:val="595710B6"/>
    <w:rsid w:val="5CB596A0"/>
    <w:rsid w:val="5FAD5B20"/>
    <w:rsid w:val="615BE33F"/>
    <w:rsid w:val="62D5C8D9"/>
    <w:rsid w:val="64799DEF"/>
    <w:rsid w:val="6488FBD6"/>
    <w:rsid w:val="670FD3A9"/>
    <w:rsid w:val="704FCF18"/>
    <w:rsid w:val="76DDF101"/>
    <w:rsid w:val="7E81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5F37"/>
  <w15:chartTrackingRefBased/>
  <w15:docId w15:val="{3CD5A39A-D795-4437-95FD-76DB7CF1DE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2CAB0E6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CAB0E63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2CAB0E63"/>
    <w:rPr>
      <w:color w:val="467886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2CAB0E63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.xml" Id="R47717e6f0a7c4f3b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mailto:ismael.diaz@another.co" TargetMode="External" Id="Ra6af8f1c97424342" /><Relationship Type="http://schemas.openxmlformats.org/officeDocument/2006/relationships/header" Target="header.xml" Id="Rf1d8787d452a45b2" /><Relationship Type="http://schemas.openxmlformats.org/officeDocument/2006/relationships/fontTable" Target="fontTable.xml" Id="rId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aa3944eaeadd4fb6" /><Relationship Type="http://schemas.openxmlformats.org/officeDocument/2006/relationships/image" Target="/media/image2.png" Id="Rf1139e03577d4ab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6" ma:contentTypeDescription="Create a new document." ma:contentTypeScope="" ma:versionID="b6d7786d48dd462b48faca4eceff02df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457ac2d7968c10b120fe409fe868c7f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</documentManagement>
</p:properties>
</file>

<file path=customXml/itemProps1.xml><?xml version="1.0" encoding="utf-8"?>
<ds:datastoreItem xmlns:ds="http://schemas.openxmlformats.org/officeDocument/2006/customXml" ds:itemID="{1384B824-0B52-43E6-8E79-912541B214E6}"/>
</file>

<file path=customXml/itemProps2.xml><?xml version="1.0" encoding="utf-8"?>
<ds:datastoreItem xmlns:ds="http://schemas.openxmlformats.org/officeDocument/2006/customXml" ds:itemID="{D4614184-11F7-45A8-98FB-E84663A8E8F4}"/>
</file>

<file path=customXml/itemProps3.xml><?xml version="1.0" encoding="utf-8"?>
<ds:datastoreItem xmlns:ds="http://schemas.openxmlformats.org/officeDocument/2006/customXml" ds:itemID="{6FFC96D0-1E32-489B-AC44-1FDA5A2538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Ismael Diaz Pineda</dc:creator>
  <keywords/>
  <dc:description/>
  <lastModifiedBy>Ismael Diaz Pineda</lastModifiedBy>
  <dcterms:created xsi:type="dcterms:W3CDTF">2025-01-28T22:12:21.0000000Z</dcterms:created>
  <dcterms:modified xsi:type="dcterms:W3CDTF">2025-02-27T15:34:50.1655747Z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